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715"/>
        </w:tabs>
        <w:spacing w:after="240" w:before="0" w:line="240" w:lineRule="auto"/>
        <w:ind w:left="0" w:right="0" w:firstLine="0"/>
        <w:jc w:val="left"/>
        <w:rPr>
          <w:rFonts w:ascii="Arial Bold" w:cs="Arial Bold" w:eastAsia="Arial Bold" w:hAnsi="Arial Bold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715"/>
        </w:tabs>
        <w:spacing w:after="240" w:before="0" w:line="240" w:lineRule="auto"/>
        <w:ind w:left="0" w:right="0" w:firstLine="0"/>
        <w:jc w:val="left"/>
        <w:rPr>
          <w:rFonts w:ascii="Arial Bold" w:cs="Arial Bold" w:eastAsia="Arial Bold" w:hAnsi="Arial Bold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Bold" w:cs="Arial Bold" w:eastAsia="Arial Bold" w:hAnsi="Arial Bold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2</w:t>
      </w:r>
      <w:r w:rsidDel="00000000" w:rsidR="00000000" w:rsidRPr="00000000">
        <w:rPr>
          <w:rFonts w:ascii="Arial Bold" w:cs="Arial Bold" w:eastAsia="Arial Bold" w:hAnsi="Arial Bold"/>
          <w:b w:val="1"/>
          <w:sz w:val="36"/>
          <w:szCs w:val="36"/>
          <w:rtl w:val="0"/>
        </w:rPr>
        <w:t xml:space="preserve">4</w:t>
      </w:r>
      <w:r w:rsidDel="00000000" w:rsidR="00000000" w:rsidRPr="00000000">
        <w:rPr>
          <w:rFonts w:ascii="Arial Bold" w:cs="Arial Bold" w:eastAsia="Arial Bold" w:hAnsi="Arial Bold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(Supplier-Furnished </w:t>
      </w:r>
      <w:r w:rsidDel="00000000" w:rsidR="00000000" w:rsidRPr="00000000">
        <w:rPr>
          <w:rFonts w:ascii="Arial Bold" w:cs="Arial Bold" w:eastAsia="Arial Bold" w:hAnsi="Arial Bold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Terms</w:t>
      </w:r>
      <w:r w:rsidDel="00000000" w:rsidR="00000000" w:rsidRPr="00000000">
        <w:rPr>
          <w:rFonts w:ascii="Arial Bold" w:cs="Arial Bold" w:eastAsia="Arial Bold" w:hAnsi="Arial Bold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03">
      <w:pPr>
        <w:spacing w:after="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Part 1A</w:t>
        <w:tab/>
        <w:t xml:space="preserve">Non-COTS Third Party Software</w:t>
      </w:r>
    </w:p>
    <w:p w:rsidR="00000000" w:rsidDel="00000000" w:rsidP="00000000" w:rsidRDefault="00000000" w:rsidRPr="00000000" w14:paraId="00000004">
      <w:pPr>
        <w:spacing w:after="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Terms for licensing of non-COTS third party software in accordance with Call-Off Schedule 6 Paragraph 9.2.3 are detailed in Annex 1.</w:t>
      </w:r>
    </w:p>
    <w:p w:rsidR="00000000" w:rsidDel="00000000" w:rsidP="00000000" w:rsidRDefault="00000000" w:rsidRPr="00000000" w14:paraId="00000006">
      <w:pPr>
        <w:spacing w:after="0" w:lineRule="auto"/>
        <w:rPr>
          <w:rFonts w:ascii="Calibri" w:cs="Calibri" w:eastAsia="Calibri" w:hAnsi="Calibri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Part 1B</w:t>
        <w:tab/>
        <w:tab/>
        <w:t xml:space="preserve">COTS Software</w:t>
      </w:r>
    </w:p>
    <w:p w:rsidR="00000000" w:rsidDel="00000000" w:rsidP="00000000" w:rsidRDefault="00000000" w:rsidRPr="00000000" w14:paraId="00000008">
      <w:pPr>
        <w:spacing w:after="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Terms for licensing of COTS software in accordance with Call-Off Schedule 6 Paragraph 9.3 are detailed in Annex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Rule="auto"/>
        <w:ind w:left="720" w:hanging="72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Rule="auto"/>
        <w:ind w:left="720" w:hanging="720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Part 1C</w:t>
        <w:tab/>
        <w:t xml:space="preserve">Software as a Service (SaaS) Terms</w:t>
      </w:r>
    </w:p>
    <w:p w:rsidR="00000000" w:rsidDel="00000000" w:rsidP="00000000" w:rsidRDefault="00000000" w:rsidRPr="00000000" w14:paraId="0000000C">
      <w:pPr>
        <w:spacing w:after="0" w:lineRule="auto"/>
        <w:ind w:left="720" w:hanging="72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ind w:left="720" w:hanging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Terms for provision of a Software as a Service solution are detailed in Annex 3.</w:t>
      </w:r>
    </w:p>
    <w:p w:rsidR="00000000" w:rsidDel="00000000" w:rsidP="00000000" w:rsidRDefault="00000000" w:rsidRPr="00000000" w14:paraId="0000000E">
      <w:pPr>
        <w:spacing w:after="0" w:lineRule="auto"/>
        <w:ind w:left="720" w:hanging="72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Rule="auto"/>
        <w:ind w:left="720" w:hanging="720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Part 1D</w:t>
        <w:tab/>
        <w:tab/>
        <w:t xml:space="preserve">Software Support and/or Maintenance Terms</w:t>
      </w:r>
    </w:p>
    <w:p w:rsidR="00000000" w:rsidDel="00000000" w:rsidP="00000000" w:rsidRDefault="00000000" w:rsidRPr="00000000" w14:paraId="00000010">
      <w:pPr>
        <w:spacing w:after="0" w:lineRule="auto"/>
        <w:ind w:left="720" w:hanging="720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Terms for provision of Software Support and/or Maintenance services are detailed in Annex 4.</w:t>
      </w:r>
    </w:p>
    <w:p w:rsidR="00000000" w:rsidDel="00000000" w:rsidP="00000000" w:rsidRDefault="00000000" w:rsidRPr="00000000" w14:paraId="00000012">
      <w:pPr>
        <w:spacing w:after="0" w:lineRule="auto"/>
        <w:ind w:left="720" w:hanging="72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Calibri" w:cs="Calibri" w:eastAsia="Calibri" w:hAnsi="Calibri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Annex 1</w:t>
      </w:r>
    </w:p>
    <w:p w:rsidR="00000000" w:rsidDel="00000000" w:rsidP="00000000" w:rsidRDefault="00000000" w:rsidRPr="00000000" w14:paraId="00000015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highlight w:val="yellow"/>
          <w:rtl w:val="0"/>
        </w:rPr>
        <w:t xml:space="preserve">insert licence terms for non-COTS third party software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Annex 2</w:t>
      </w:r>
    </w:p>
    <w:p w:rsidR="00000000" w:rsidDel="00000000" w:rsidP="00000000" w:rsidRDefault="00000000" w:rsidRPr="00000000" w14:paraId="0000001D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highlight w:val="yellow"/>
          <w:rtl w:val="0"/>
        </w:rPr>
        <w:t xml:space="preserve">insert licence terms for COTS software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Annex 3</w:t>
      </w:r>
    </w:p>
    <w:p w:rsidR="00000000" w:rsidDel="00000000" w:rsidP="00000000" w:rsidRDefault="00000000" w:rsidRPr="00000000" w14:paraId="00000023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highlight w:val="yellow"/>
          <w:rtl w:val="0"/>
        </w:rPr>
        <w:t xml:space="preserve">insert terms specifically required for provision of a SaaS solution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Annex 4</w:t>
      </w:r>
    </w:p>
    <w:p w:rsidR="00000000" w:rsidDel="00000000" w:rsidP="00000000" w:rsidRDefault="00000000" w:rsidRPr="00000000" w14:paraId="00000028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highlight w:val="yellow"/>
          <w:rtl w:val="0"/>
        </w:rPr>
        <w:t xml:space="preserve">insert terms specifically required for provision of software support and/or maintenance services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Rule="auto"/>
        <w:ind w:left="720" w:hanging="720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Arial Bold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7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8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RM6181</w:t>
      <w:tab/>
      <w:t xml:space="preserve">                                           </w:t>
    </w:r>
  </w:p>
  <w:p w:rsidR="00000000" w:rsidDel="00000000" w:rsidP="00000000" w:rsidRDefault="00000000" w:rsidRPr="00000000" w14:paraId="0000003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A">
    <w:pPr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ab/>
      <w:tab/>
      <w:tab/>
      <w:tab/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3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F">
    <w:pPr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v3.0</w:t>
      <w:tab/>
      <w:tab/>
      <w:tab/>
      <w:tab/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Schedule 1 (Transparency Reports)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 </w:t>
    </w:r>
  </w:p>
  <w:p w:rsidR="00000000" w:rsidDel="00000000" w:rsidP="00000000" w:rsidRDefault="00000000" w:rsidRPr="00000000" w14:paraId="0000002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  <w:p w:rsidR="00000000" w:rsidDel="00000000" w:rsidP="00000000" w:rsidRDefault="00000000" w:rsidRPr="00000000" w14:paraId="0000003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1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Call-Off Schedule 2</w:t>
    </w:r>
    <w:r w:rsidDel="00000000" w:rsidR="00000000" w:rsidRPr="00000000">
      <w:rPr>
        <w:b w:val="1"/>
        <w:rtl w:val="0"/>
      </w:rPr>
      <w:t xml:space="preserve">3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(Supplier-Furnished Terms)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RM6181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20</w:t>
    </w:r>
    <w:r w:rsidDel="00000000" w:rsidR="00000000" w:rsidRPr="00000000">
      <w:rPr>
        <w:rtl w:val="0"/>
      </w:rPr>
      <w:t xml:space="preserve">21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cs="Times New Roman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TSOLScheduleAnnexName" w:customStyle="1">
    <w:name w:val="TSOL Schedule Annex Name"/>
    <w:qFormat w:val="1"/>
    <w:pPr>
      <w:spacing w:after="240" w:line="240" w:lineRule="auto"/>
      <w:jc w:val="center"/>
      <w:outlineLvl w:val="1"/>
    </w:pPr>
    <w:rPr>
      <w:rFonts w:ascii="Calibri" w:cs="Arial" w:eastAsia="STZhongsong" w:hAnsi="Calibri"/>
      <w:b w:val="1"/>
      <w:caps w:val="1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color w:val="000000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yperlink">
    <w:name w:val="Hyperlink"/>
    <w:basedOn w:val="DefaultParagraphFont"/>
    <w:uiPriority w:val="99"/>
    <w:unhideWhenUsed w:val="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Pr>
      <w:color w:val="800080" w:themeColor="followedHyperlink"/>
      <w:u w:val="single"/>
    </w:rPr>
  </w:style>
  <w:style w:type="paragraph" w:styleId="GPSL2Numbered" w:customStyle="1">
    <w:name w:val="GPS L2 Numbered"/>
    <w:basedOn w:val="Normal"/>
    <w:link w:val="GPSL2NumberedChar"/>
    <w:qFormat w:val="1"/>
    <w:pPr>
      <w:tabs>
        <w:tab w:val="left" w:pos="709"/>
        <w:tab w:val="left" w:pos="1134"/>
      </w:tabs>
      <w:adjustRightInd w:val="0"/>
      <w:spacing w:after="120" w:before="120" w:line="240" w:lineRule="auto"/>
      <w:jc w:val="both"/>
    </w:pPr>
    <w:rPr>
      <w:rFonts w:ascii="Calibri" w:cs="Arial" w:eastAsia="Times New Roman" w:hAnsi="Calibri"/>
      <w:lang w:eastAsia="zh-CN"/>
    </w:rPr>
  </w:style>
  <w:style w:type="character" w:styleId="GPSL2NumberedChar" w:customStyle="1">
    <w:name w:val="GPS L2 Numbered Char"/>
    <w:link w:val="GPSL2Numbered"/>
    <w:locked w:val="1"/>
    <w:rPr>
      <w:rFonts w:ascii="Calibri" w:cs="Arial" w:eastAsia="Times New Roman" w:hAnsi="Calibri"/>
      <w:lang w:eastAsia="zh-CN"/>
    </w:rPr>
  </w:style>
  <w:style w:type="paragraph" w:styleId="Revision">
    <w:name w:val="Revision"/>
    <w:hidden w:val="1"/>
    <w:uiPriority w:val="99"/>
    <w:semiHidden w:val="1"/>
    <w:rsid w:val="00F42B75"/>
    <w:pPr>
      <w:spacing w:after="0" w:line="240" w:lineRule="auto"/>
    </w:pPr>
  </w:style>
  <w:style w:type="paragraph" w:styleId="ListParagraph">
    <w:name w:val="List Paragraph"/>
    <w:basedOn w:val="Normal"/>
    <w:uiPriority w:val="34"/>
    <w:qFormat w:val="1"/>
    <w:rsid w:val="00A97B50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n8haYj0NnOAlziyzwJ8lqq2wCZQ==">AMUW2mWT1Y3IyZDwwv7RD2YlevDg01peUmmShhpoin27UdQzZhnnM3e7h65l3S04sn2P/O35IvEKMgs++/wuoqWwgFMmDMewuNmtCN5IE///WJau7kYLcjRe2lHY/ie7BwRyvusG2vco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2020-10-21T15:26:00Z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